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9D02B6">
      <w:pPr>
        <w:numPr>
          <w:ilvl w:val="0"/>
          <w:numId w:val="0"/>
        </w:numPr>
        <w:jc w:val="left"/>
        <w:rPr>
          <w:rFonts w:hint="default" w:ascii="Times New Roman" w:hAnsi="Times New Roman" w:eastAsia="仿宋_GB2312" w:cs="Times New Roman"/>
          <w:b/>
          <w:bCs/>
          <w:kern w:val="2"/>
          <w:sz w:val="30"/>
          <w:szCs w:val="30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/>
          <w:bCs/>
          <w:kern w:val="2"/>
          <w:sz w:val="30"/>
          <w:szCs w:val="30"/>
          <w:highlight w:val="none"/>
          <w:lang w:val="en-US" w:eastAsia="zh-CN" w:bidi="ar-SA"/>
        </w:rPr>
        <w:t>附件4</w:t>
      </w:r>
      <w:bookmarkStart w:id="0" w:name="_GoBack"/>
      <w:bookmarkEnd w:id="0"/>
    </w:p>
    <w:p w14:paraId="3CE729D6">
      <w:pPr>
        <w:numPr>
          <w:ilvl w:val="0"/>
          <w:numId w:val="0"/>
        </w:numPr>
        <w:jc w:val="left"/>
        <w:rPr>
          <w:rFonts w:hint="eastAsia" w:ascii="Times New Roman" w:hAnsi="Times New Roman" w:eastAsia="仿宋_GB2312" w:cs="Times New Roman"/>
          <w:b/>
          <w:bCs/>
          <w:kern w:val="2"/>
          <w:sz w:val="52"/>
          <w:szCs w:val="52"/>
          <w:highlight w:val="none"/>
          <w:lang w:val="en-US" w:eastAsia="zh-CN" w:bidi="ar-SA"/>
        </w:rPr>
      </w:pPr>
    </w:p>
    <w:p w14:paraId="7FEABB90">
      <w:pPr>
        <w:numPr>
          <w:ilvl w:val="0"/>
          <w:numId w:val="0"/>
        </w:numPr>
        <w:jc w:val="center"/>
        <w:rPr>
          <w:rFonts w:hint="eastAsia" w:ascii="Times New Roman" w:hAnsi="Times New Roman" w:eastAsia="仿宋_GB2312" w:cs="Times New Roman"/>
          <w:b/>
          <w:bCs/>
          <w:kern w:val="2"/>
          <w:sz w:val="48"/>
          <w:szCs w:val="48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/>
          <w:bCs/>
          <w:kern w:val="2"/>
          <w:sz w:val="48"/>
          <w:szCs w:val="48"/>
          <w:highlight w:val="none"/>
          <w:lang w:val="en-US" w:eastAsia="zh-CN" w:bidi="ar-SA"/>
        </w:rPr>
        <w:t>云南师范大学附属小学金牛校区</w:t>
      </w:r>
    </w:p>
    <w:p w14:paraId="4DFA4D00">
      <w:pPr>
        <w:numPr>
          <w:ilvl w:val="0"/>
          <w:numId w:val="0"/>
        </w:numPr>
        <w:jc w:val="center"/>
        <w:rPr>
          <w:rFonts w:hint="default" w:ascii="Times New Roman" w:hAnsi="Times New Roman" w:eastAsia="仿宋_GB2312" w:cs="Times New Roman"/>
          <w:b/>
          <w:bCs/>
          <w:kern w:val="2"/>
          <w:sz w:val="48"/>
          <w:szCs w:val="48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b/>
          <w:bCs/>
          <w:kern w:val="2"/>
          <w:sz w:val="48"/>
          <w:szCs w:val="48"/>
          <w:highlight w:val="none"/>
          <w:lang w:val="en-US" w:eastAsia="zh-CN" w:bidi="ar-SA"/>
        </w:rPr>
        <w:t>供餐退出机制</w:t>
      </w:r>
    </w:p>
    <w:p w14:paraId="2D474B5D">
      <w:pPr>
        <w:numPr>
          <w:ilvl w:val="0"/>
          <w:numId w:val="0"/>
        </w:numPr>
        <w:jc w:val="left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</w:p>
    <w:p w14:paraId="5BFA859F">
      <w:pPr>
        <w:numPr>
          <w:ilvl w:val="0"/>
          <w:numId w:val="0"/>
        </w:numPr>
        <w:jc w:val="left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一、发生如下情况之一的立即退出，甲方可立即终止本合同，单方解除本合同，乙方应按违约责任条款承担违约责任，违约责任未约定具体内容的，乙方按已支付餐费总额的30%向甲方支付违约金：</w:t>
      </w:r>
    </w:p>
    <w:p w14:paraId="486CBD16">
      <w:pPr>
        <w:numPr>
          <w:ilvl w:val="0"/>
          <w:numId w:val="0"/>
        </w:numPr>
        <w:ind w:firstLine="640" w:firstLineChars="200"/>
        <w:jc w:val="left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1.违反食品安全法律法规，被市场监管部门吊销或注销食品经营许可证的；违反相关法律法规，被登记机关吊销营业执照的；未持续保持校外供餐单位资质，经整改仍不符合食品经营许可条件的；不遵守食品安全标准等导致严重影响学校的声誉或学生的健康。</w:t>
      </w:r>
    </w:p>
    <w:p w14:paraId="641E8C7D">
      <w:pPr>
        <w:numPr>
          <w:ilvl w:val="0"/>
          <w:numId w:val="0"/>
        </w:numPr>
        <w:ind w:firstLine="640" w:firstLineChars="200"/>
        <w:jc w:val="left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2.发生食品安全事故或在合同期内被行政处罚的。</w:t>
      </w:r>
    </w:p>
    <w:p w14:paraId="6D9C6BE0">
      <w:pPr>
        <w:numPr>
          <w:ilvl w:val="0"/>
          <w:numId w:val="0"/>
        </w:numPr>
        <w:ind w:firstLine="640" w:firstLineChars="200"/>
        <w:jc w:val="left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3.未履行供餐服务合同约定，经营管理混乱、存在食品安全隐患，被市场监管部门处罚且限期整改不到位的，未能提供符合卫生标准、营养要求的餐食，或者未能按时供餐等，且这种违约行为已经严重影响到了学校的正常运作或学生的健康的。</w:t>
      </w:r>
    </w:p>
    <w:p w14:paraId="262AB895">
      <w:pPr>
        <w:numPr>
          <w:ilvl w:val="0"/>
          <w:numId w:val="0"/>
        </w:numPr>
        <w:ind w:firstLine="640" w:firstLineChars="200"/>
        <w:jc w:val="left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4存在采购、加工法律法规禁止生产经营的食品、原材料或掺假用假，使用非食用物质及滥用食品添加剂，降低食品安全保障条件等问题的。</w:t>
      </w:r>
    </w:p>
    <w:p w14:paraId="1D8FF944">
      <w:pPr>
        <w:numPr>
          <w:ilvl w:val="0"/>
          <w:numId w:val="0"/>
        </w:numPr>
        <w:ind w:firstLine="640" w:firstLineChars="200"/>
        <w:jc w:val="left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5.在学校供餐过程中发生转包、分包供餐业务，擅自更换履约人、变更生产地址的。</w:t>
      </w:r>
    </w:p>
    <w:p w14:paraId="4806EB06">
      <w:pPr>
        <w:numPr>
          <w:ilvl w:val="0"/>
          <w:numId w:val="0"/>
        </w:numPr>
        <w:ind w:firstLine="640" w:firstLineChars="200"/>
        <w:jc w:val="left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6.降低供餐质量和餐量标准，随意变更供餐食谱，或者服务态度恶劣，导致学生或教师普遍不满，经学校约谈后仍不进行改正，符合合同约定或法律法规规定解除条件的；供餐质量或服务质量存在问题，师生家长满意度测评连续两次未达到80%的。</w:t>
      </w:r>
    </w:p>
    <w:p w14:paraId="7D858699">
      <w:pPr>
        <w:numPr>
          <w:ilvl w:val="0"/>
          <w:numId w:val="0"/>
        </w:numPr>
        <w:ind w:firstLine="640" w:firstLineChars="200"/>
        <w:jc w:val="left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7.因供餐企业（单位）自身原因，导致出现宣布停业、破产，或者因为政策、法律等不可抗力因素导致无法继续履行合同的。</w:t>
      </w:r>
    </w:p>
    <w:p w14:paraId="39A8A618">
      <w:pPr>
        <w:numPr>
          <w:ilvl w:val="0"/>
          <w:numId w:val="0"/>
        </w:numPr>
        <w:ind w:firstLine="640" w:firstLineChars="200"/>
        <w:jc w:val="left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8.食品的配送温度和食用时限不符合《餐饮服务食品安全操作规范》有关要求的。</w:t>
      </w:r>
    </w:p>
    <w:p w14:paraId="5CB4EEAC">
      <w:pPr>
        <w:numPr>
          <w:ilvl w:val="0"/>
          <w:numId w:val="0"/>
        </w:numPr>
        <w:ind w:firstLine="640" w:firstLineChars="200"/>
        <w:jc w:val="left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9.供餐单位与学校存在商业贿赂等不正当经营行为的。</w:t>
      </w:r>
    </w:p>
    <w:p w14:paraId="138A90CF">
      <w:pPr>
        <w:numPr>
          <w:ilvl w:val="0"/>
          <w:numId w:val="0"/>
        </w:numPr>
        <w:ind w:firstLine="640" w:firstLineChars="200"/>
        <w:jc w:val="left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10.不尊重少数民族学生餐饮习惯，致使师生、家长产生不满情绪，引发影响稳定问题的。</w:t>
      </w:r>
    </w:p>
    <w:p w14:paraId="76EA24FC">
      <w:pPr>
        <w:numPr>
          <w:ilvl w:val="0"/>
          <w:numId w:val="0"/>
        </w:numPr>
        <w:ind w:firstLine="640" w:firstLineChars="200"/>
        <w:jc w:val="left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11.出现严重违反合同约定、不可抗力因素、违反法律法规要求等情况严重影响学校的正常运作、声誉和学生健康的其他情形。</w:t>
      </w:r>
    </w:p>
    <w:p w14:paraId="0BB68501">
      <w:pPr>
        <w:numPr>
          <w:ilvl w:val="0"/>
          <w:numId w:val="0"/>
        </w:numPr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二、甲方对乙方评价结果不合格时启动退出机制</w:t>
      </w:r>
    </w:p>
    <w:p w14:paraId="2B54F993">
      <w:pPr>
        <w:numPr>
          <w:ilvl w:val="0"/>
          <w:numId w:val="0"/>
        </w:numPr>
        <w:jc w:val="left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学校结合“日管控、周排查、月调度”工作机制，对乙方进行评价，发现不符合要求的情况，使用日管控检查表进行记录，后附校企双方签字确认的《学校企业供餐评价单》（附件</w:t>
      </w:r>
      <w:r>
        <w:rPr>
          <w:rFonts w:hint="eastAsia" w:ascii="Times New Roman" w:hAnsi="Times New Roman" w:eastAsia="仿宋_GB2312" w:cs="Times New Roman"/>
          <w:color w:val="EE822F" w:themeColor="accent2"/>
          <w:kern w:val="2"/>
          <w:sz w:val="32"/>
          <w:szCs w:val="32"/>
          <w:highlight w:val="none"/>
          <w:lang w:val="en-US" w:eastAsia="zh-CN" w:bidi="ar-SA"/>
          <w14:textFill>
            <w14:solidFill>
              <w14:schemeClr w14:val="accent2"/>
            </w14:solidFill>
          </w14:textFill>
        </w:rPr>
        <w:t>3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）。评价实行扣分制，当扣分超过30分时，按学校学校“三重一大”程序集体研究后，启动退出机制。</w:t>
      </w:r>
    </w:p>
    <w:p w14:paraId="2835DD83">
      <w:pPr>
        <w:numPr>
          <w:ilvl w:val="0"/>
          <w:numId w:val="0"/>
        </w:numPr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评价内容如下：</w:t>
      </w:r>
    </w:p>
    <w:p w14:paraId="424AC4DF"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1.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及时响应处置学生用餐过程中的突发事件，2分。杜绝餐食中出现异物的情况，5分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。</w:t>
      </w:r>
    </w:p>
    <w:p w14:paraId="20B67C8E"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2.提供的学生餐必须烧熟煮透，热链配送食品应在制作完成后，中心温度在70℃以上，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2分；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熟制后的食品完整不碎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、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不松散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，1分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；热菜食品表面无风干及水浸现象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，1分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；素食食品即时烹炒并控干过多汤汁和水分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，1分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；配送的水果、糕点等无腐败变质且外包装完好，注明食用期限等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，1分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。</w:t>
      </w:r>
    </w:p>
    <w:p w14:paraId="759421D0"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3.提供的饭菜符合国家现行的相关技术标准和规范要求，烹调后至食用前存放时间不得超过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小时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，5分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；配送餐时做好安全防护及保温措施，学生开始用餐时餐品的温度不低于60℃，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5分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。</w:t>
      </w:r>
    </w:p>
    <w:p w14:paraId="4A55E408"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4.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供餐单位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须按照相关规定进行双留样（企业留一份，学校留一份），设置专用留样容器、冷藏设备，每批次提供的所有食品均应留样，每份留样不得少于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125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g，密闭于清洁容器内，并提供冰箱和留样盒到供餐学校进行现场食品留样，冷藏存留48小时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，3分；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留样应规范填写留样记录并形成档案以备查验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，3分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。</w:t>
      </w:r>
    </w:p>
    <w:p w14:paraId="33F18419"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5.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供餐单位向学校提供带量食谱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，明确食品原辅料及操作流程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确保实际提供的餐食与食谱一致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，3分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。</w:t>
      </w:r>
    </w:p>
    <w:p w14:paraId="33654F87"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6.不得配送高风险食品及生冷食品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，10分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。</w:t>
      </w:r>
    </w:p>
    <w:p w14:paraId="2952EE41"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7.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供餐单位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需配合学校确认餐用具清洗消毒效果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，定期提供消毒记录，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若由餐用具集中消毒服务单位提供服务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的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,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供餐单位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主动向学校提供该单位的营业执照、消毒合格证明等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，2分；至少每半年向学校提供一次复用餐用具第三方检测报告，2分。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运输食品的车辆和配送容器具须每天进行清洗消毒，做好相应记录并形成档案以备查验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，2分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。</w:t>
      </w:r>
    </w:p>
    <w:p w14:paraId="0C19A7A3"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8.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供餐单位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须配齐专业管理人员。配备至少1名食品安全管理人员（不限于食品安全管理师或食品安全管理员），具备相关资质的营养指导人员至少1名（不限于高级营养师、注册营养师、营养配餐员、营养指导员等）、高级厨师至少1名。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在供餐学校派驻食品安全总监和食品安全员，提供任命文件，5分。派驻充足的工作人员，学生用餐前完成所有准备工作，2分。</w:t>
      </w:r>
    </w:p>
    <w:p w14:paraId="299B0384"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9.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供餐单位严格执行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本单位的食品安全管理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制度，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包括原料采购控制、进货查验、集中用餐信息公开、餐饮用具洗消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、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食品留样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、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应急机制、食品召回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、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人员管理、设备设施消毒等制度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，10分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。</w:t>
      </w:r>
    </w:p>
    <w:p w14:paraId="0FAFE4E5"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10.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供餐单位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须配合学校、膳食监督家长委员不定期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到企业进行体察活动，3分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。</w:t>
      </w:r>
    </w:p>
    <w:p w14:paraId="1ED1F553"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11.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供餐单位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所用的粮、油、肉、禽、蛋等食品级食品原材料来源于正规渠道，供货渠道厂家资质齐全，有检验或检测报告、符合国家食品安全标准。在每学期初应向学校提供所有食品级食品原材料、餐具、餐盒、餐箱等卫生质量检验报告及供货渠道厂家营业执照、资质等，做好相应记录形成档案以备查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，5分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。</w:t>
      </w:r>
    </w:p>
    <w:p w14:paraId="4F2D67CF"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12.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供餐单位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须向学校提供食品安全承诺书，确保学生用餐安全（食品安全承诺书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与企业投标文件的响应条款一致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）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，5分。</w:t>
      </w:r>
    </w:p>
    <w:p w14:paraId="42E667FE"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13.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供餐单位根据产能情况，投保相应额度的食品安全责任险，3分。</w:t>
      </w:r>
    </w:p>
    <w:p w14:paraId="3136955F"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14.餐食到校后须在学校食品安全员的监督下开启车厢封条，学校食品安全员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完成验收工作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后方可进行分餐，并做到所有餐盒、餐具、辅食离墙、离地。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分餐时佩戴口罩、食品帽、一次性食品手套，每餐的验收结果纳入评价体系，14分。</w:t>
      </w:r>
    </w:p>
    <w:p w14:paraId="6BCE8C65">
      <w:pPr>
        <w:numPr>
          <w:ilvl w:val="0"/>
          <w:numId w:val="0"/>
        </w:numPr>
        <w:ind w:firstLine="640" w:firstLineChars="200"/>
        <w:jc w:val="left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15.配餐结束后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供餐单位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应将餐具用品、剩饭、剩菜等及时运离甲方配餐现场，并将招标人配餐现场和教室、过道清理干净，每学期末和开学前按学校要求对配餐现场、留样冰箱和教室、过道进行消毒和大扫除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，5分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。</w:t>
      </w:r>
    </w:p>
    <w:p w14:paraId="79194AE4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right="52"/>
        <w:jc w:val="both"/>
        <w:textAlignment w:val="baseline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三、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自动退出的情形</w:t>
      </w:r>
    </w:p>
    <w:p w14:paraId="2B1FF6D5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8" w:right="52" w:firstLine="675"/>
        <w:jc w:val="both"/>
        <w:textAlignment w:val="baseline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单位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由于自身原因主动申请退出的，须提前60天向学校提出，学校向区教育体育局备案。</w:t>
      </w:r>
    </w:p>
    <w:p w14:paraId="4A785AE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FangSong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EB3AD4"/>
    <w:rsid w:val="3C613144"/>
    <w:rsid w:val="3CEB3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FangSong_GB2312" w:hAnsi="FangSong_GB2312" w:eastAsia="FangSong_GB2312" w:cs="FangSong_GB2312"/>
      <w:sz w:val="31"/>
      <w:szCs w:val="3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2276</Words>
  <Characters>2326</Characters>
  <Lines>0</Lines>
  <Paragraphs>0</Paragraphs>
  <TotalTime>1</TotalTime>
  <ScaleCrop>false</ScaleCrop>
  <LinksUpToDate>false</LinksUpToDate>
  <CharactersWithSpaces>2326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2026-06-02T07:42:00Z</dcterms:created>
  <dc:creator>天小卉</dc:creator>
  <cp:lastModifiedBy>天小卉</cp:lastModifiedBy>
  <dcterms:modified xsi:type="dcterms:W3CDTF">2026-06-02T07:55:49Z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4EF92C98C17C4E64AEC4542B7A511C7A_11</vt:lpwstr>
  </property>
  <property fmtid="{D5CDD505-2E9C-101B-9397-08002B2CF9AE}" pid="4" name="KSOTemplateDocerSaveRecord">
    <vt:lpwstr>eyJoZGlkIjoiYmM2MmFiNThmMTJjZTlhYjU0ZWU2NjY0MDU5MzA1MzQiLCJ1c2VySWQiOiI0NDAwMjUxMTUifQ==</vt:lpwstr>
  </property>
</Properties>
</file>