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F89F9A">
      <w:pPr>
        <w:jc w:val="left"/>
        <w:rPr>
          <w:rFonts w:hint="default" w:ascii="方正小标宋简体" w:hAnsi="方正小标宋简体" w:eastAsia="方正小标宋简体" w:cs="方正小标宋简体"/>
          <w:sz w:val="24"/>
          <w:szCs w:val="2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24"/>
          <w:szCs w:val="24"/>
          <w:lang w:val="en-US" w:eastAsia="zh-CN"/>
        </w:rPr>
        <w:t>附件5</w:t>
      </w:r>
    </w:p>
    <w:p w14:paraId="033B2A66">
      <w:pPr>
        <w:jc w:val="center"/>
        <w:rPr>
          <w:rFonts w:hint="default"/>
          <w:lang w:val="en-US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校外供餐企业实地实地考察参考内容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8"/>
        <w:gridCol w:w="7034"/>
      </w:tblGrid>
      <w:tr w14:paraId="68D876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8" w:type="dxa"/>
          </w:tcPr>
          <w:p w14:paraId="45BBCEBE">
            <w:pPr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1.经营主体</w:t>
            </w:r>
          </w:p>
        </w:tc>
        <w:tc>
          <w:tcPr>
            <w:tcW w:w="7034" w:type="dxa"/>
          </w:tcPr>
          <w:p w14:paraId="0752EF92">
            <w:pPr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查看营业执照、食品经营许可证、人员健康证，证照与企业实际相符且在有效期内。</w:t>
            </w:r>
          </w:p>
        </w:tc>
      </w:tr>
      <w:tr w14:paraId="43A77C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8" w:type="dxa"/>
          </w:tcPr>
          <w:p w14:paraId="5A3AD403"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2.场所与布局</w:t>
            </w:r>
          </w:p>
        </w:tc>
        <w:tc>
          <w:tcPr>
            <w:tcW w:w="7034" w:type="dxa"/>
          </w:tcPr>
          <w:p w14:paraId="2BF9FA6E"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1.</w:t>
            </w:r>
            <w:r>
              <w:rPr>
                <w:rFonts w:hint="default"/>
                <w:vertAlign w:val="baseline"/>
                <w:lang w:val="en-US" w:eastAsia="zh-CN"/>
              </w:rPr>
              <w:t>选址与环境</w:t>
            </w:r>
          </w:p>
          <w:p w14:paraId="5E009204"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2.</w:t>
            </w:r>
            <w:r>
              <w:rPr>
                <w:rFonts w:hint="default"/>
                <w:vertAlign w:val="baseline"/>
                <w:lang w:val="en-US" w:eastAsia="zh-CN"/>
              </w:rPr>
              <w:t>设计与布局</w:t>
            </w:r>
          </w:p>
          <w:p w14:paraId="7175AFD0"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3.</w:t>
            </w:r>
            <w:r>
              <w:rPr>
                <w:rFonts w:hint="default"/>
                <w:vertAlign w:val="baseline"/>
                <w:lang w:val="en-US" w:eastAsia="zh-CN"/>
              </w:rPr>
              <w:t>建筑结构</w:t>
            </w:r>
          </w:p>
        </w:tc>
      </w:tr>
      <w:tr w14:paraId="06D64E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8" w:type="dxa"/>
          </w:tcPr>
          <w:p w14:paraId="1814225B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设施设备</w:t>
            </w:r>
          </w:p>
        </w:tc>
        <w:tc>
          <w:tcPr>
            <w:tcW w:w="7034" w:type="dxa"/>
          </w:tcPr>
          <w:p w14:paraId="37F21B88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1.供水设施</w:t>
            </w:r>
          </w:p>
          <w:p w14:paraId="06142EDF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2.排水设施</w:t>
            </w:r>
          </w:p>
          <w:p w14:paraId="465DCAE7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3.清洗消毒保洁设施</w:t>
            </w:r>
          </w:p>
          <w:p w14:paraId="04110C42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4.个人卫生设施和卫生间</w:t>
            </w:r>
          </w:p>
          <w:p w14:paraId="01F5D8F0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5.照明设施</w:t>
            </w:r>
          </w:p>
          <w:p w14:paraId="3E6E511B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6.通风排烟设施</w:t>
            </w:r>
          </w:p>
          <w:p w14:paraId="00D1909F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7.库房及冷冻（藏）设施</w:t>
            </w:r>
          </w:p>
          <w:p w14:paraId="46A7A432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8.加工制作设备设施</w:t>
            </w:r>
          </w:p>
        </w:tc>
      </w:tr>
      <w:tr w14:paraId="5AA2B9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8" w:type="dxa"/>
          </w:tcPr>
          <w:p w14:paraId="2DDF1E40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原料</w:t>
            </w:r>
          </w:p>
        </w:tc>
        <w:tc>
          <w:tcPr>
            <w:tcW w:w="7034" w:type="dxa"/>
          </w:tcPr>
          <w:p w14:paraId="1A4B3875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1.原料采购</w:t>
            </w:r>
          </w:p>
          <w:p w14:paraId="40BE7562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2.原料运输</w:t>
            </w:r>
          </w:p>
          <w:p w14:paraId="751DCBCA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3.进货查验</w:t>
            </w:r>
          </w:p>
          <w:p w14:paraId="6087C25E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4.原料贮存</w:t>
            </w:r>
          </w:p>
        </w:tc>
      </w:tr>
      <w:tr w14:paraId="250A31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8" w:type="dxa"/>
          </w:tcPr>
          <w:p w14:paraId="70D83D1D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加工制作</w:t>
            </w:r>
          </w:p>
        </w:tc>
        <w:tc>
          <w:tcPr>
            <w:tcW w:w="7034" w:type="dxa"/>
          </w:tcPr>
          <w:p w14:paraId="3FFE2CE3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1.加工制作基本要求</w:t>
            </w:r>
          </w:p>
          <w:p w14:paraId="7A9DA92D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2.加工制作区域的使用</w:t>
            </w:r>
          </w:p>
          <w:p w14:paraId="0EB279C6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3.粗加工制作与切配</w:t>
            </w:r>
          </w:p>
          <w:p w14:paraId="508384B0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4.成品加工制作</w:t>
            </w:r>
          </w:p>
          <w:p w14:paraId="0B7EA4A9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5.食品添加剂使用</w:t>
            </w:r>
          </w:p>
          <w:p w14:paraId="11811C92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6.食品相关产品使用</w:t>
            </w:r>
          </w:p>
          <w:p w14:paraId="5113C838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7.高危易腐食品冷却</w:t>
            </w:r>
          </w:p>
          <w:p w14:paraId="6D1C17FD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8.食品再加热</w:t>
            </w:r>
          </w:p>
          <w:p w14:paraId="0EE7CF49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9.食品留样</w:t>
            </w:r>
          </w:p>
        </w:tc>
      </w:tr>
      <w:tr w14:paraId="2C0831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8" w:type="dxa"/>
          </w:tcPr>
          <w:p w14:paraId="062FCE9D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供餐与配送</w:t>
            </w:r>
          </w:p>
        </w:tc>
        <w:tc>
          <w:tcPr>
            <w:tcW w:w="7034" w:type="dxa"/>
          </w:tcPr>
          <w:p w14:paraId="60702558"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供餐与配送的餐用具、包装、食品温度、容器、车辆等符合国家要求</w:t>
            </w:r>
          </w:p>
        </w:tc>
      </w:tr>
      <w:tr w14:paraId="60A568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8" w:type="dxa"/>
          </w:tcPr>
          <w:p w14:paraId="17366EF7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检验检测</w:t>
            </w:r>
          </w:p>
        </w:tc>
        <w:tc>
          <w:tcPr>
            <w:tcW w:w="7034" w:type="dxa"/>
          </w:tcPr>
          <w:p w14:paraId="50B9D9A8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1.检验检测计划</w:t>
            </w:r>
          </w:p>
          <w:p w14:paraId="4744A31B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2.检验检测项目和人员</w:t>
            </w:r>
          </w:p>
        </w:tc>
      </w:tr>
      <w:tr w14:paraId="549E7A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8" w:type="dxa"/>
          </w:tcPr>
          <w:p w14:paraId="10E489D5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清洗消毒</w:t>
            </w:r>
          </w:p>
        </w:tc>
        <w:tc>
          <w:tcPr>
            <w:tcW w:w="7034" w:type="dxa"/>
          </w:tcPr>
          <w:p w14:paraId="3CEEAC74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1.餐用具清洗消毒</w:t>
            </w:r>
          </w:p>
          <w:p w14:paraId="4A1B1B7C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2.餐用具保洁</w:t>
            </w:r>
          </w:p>
          <w:p w14:paraId="3371593C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3.洗涤剂消毒剂</w:t>
            </w:r>
          </w:p>
        </w:tc>
      </w:tr>
      <w:tr w14:paraId="09B50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8" w:type="dxa"/>
          </w:tcPr>
          <w:p w14:paraId="57849FEC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废弃物管理</w:t>
            </w:r>
          </w:p>
        </w:tc>
        <w:tc>
          <w:tcPr>
            <w:tcW w:w="7034" w:type="dxa"/>
          </w:tcPr>
          <w:p w14:paraId="5CD3D0CB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1.废弃物存放容器与设施</w:t>
            </w:r>
          </w:p>
          <w:p w14:paraId="572376E4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2.废弃物处置</w:t>
            </w:r>
          </w:p>
        </w:tc>
      </w:tr>
      <w:tr w14:paraId="27E17D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8" w:type="dxa"/>
          </w:tcPr>
          <w:p w14:paraId="0B647A45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有害生物防治</w:t>
            </w:r>
          </w:p>
        </w:tc>
        <w:tc>
          <w:tcPr>
            <w:tcW w:w="7034" w:type="dxa"/>
          </w:tcPr>
          <w:p w14:paraId="7236F648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1.基本要求</w:t>
            </w:r>
          </w:p>
          <w:p w14:paraId="405C4E80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2.设施设备的使用与维护</w:t>
            </w:r>
          </w:p>
          <w:p w14:paraId="7197AD35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3.防治过程要求</w:t>
            </w:r>
          </w:p>
          <w:p w14:paraId="76FF4125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4.卫生杀虫剂和杀鼠剂的管理</w:t>
            </w:r>
          </w:p>
        </w:tc>
      </w:tr>
      <w:tr w14:paraId="31614E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3" w:hRule="atLeast"/>
        </w:trPr>
        <w:tc>
          <w:tcPr>
            <w:tcW w:w="1488" w:type="dxa"/>
          </w:tcPr>
          <w:p w14:paraId="047DE146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食品安全管理</w:t>
            </w:r>
          </w:p>
        </w:tc>
        <w:tc>
          <w:tcPr>
            <w:tcW w:w="7034" w:type="dxa"/>
          </w:tcPr>
          <w:p w14:paraId="6DD3CF41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1.设立食品安全管理机构和配备人员</w:t>
            </w:r>
          </w:p>
          <w:p w14:paraId="6E6C690E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2.食品安全管理基本内容</w:t>
            </w:r>
          </w:p>
          <w:p w14:paraId="0FB644CC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3.食品安全管理制度</w:t>
            </w:r>
          </w:p>
          <w:p w14:paraId="72AFCA11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4.食品安全自查</w:t>
            </w:r>
          </w:p>
          <w:p w14:paraId="0CBAA900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5.投诉处置</w:t>
            </w:r>
          </w:p>
          <w:p w14:paraId="67DF473B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6.食品安全事故处置</w:t>
            </w:r>
          </w:p>
          <w:p w14:paraId="11AC6F0D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7.公示</w:t>
            </w:r>
          </w:p>
          <w:p w14:paraId="71D97280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8.场所清洁</w:t>
            </w:r>
          </w:p>
          <w:p w14:paraId="75CBD975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9.</w:t>
            </w:r>
            <w:bookmarkStart w:id="0" w:name="_GoBack"/>
            <w:bookmarkEnd w:id="0"/>
            <w:r>
              <w:rPr>
                <w:rFonts w:hint="eastAsia"/>
                <w:vertAlign w:val="baseline"/>
                <w:lang w:val="en-US" w:eastAsia="zh-CN"/>
              </w:rPr>
              <w:t>网络明厨亮灶建设</w:t>
            </w:r>
          </w:p>
          <w:p w14:paraId="3AB4779D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10.食品安全培训与考核机制，确保从业人员掌握最新法规要求和操作规范；11.食品安全追溯体系建设，实现原料采购、加工制作、配送销售全流程信息可查、可溯、可控；</w:t>
            </w:r>
          </w:p>
          <w:p w14:paraId="4673C09D"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12.风险分级管理，依据食品类别、经营规模、既往监管记录等动态调整检查频次与重点。</w:t>
            </w:r>
          </w:p>
        </w:tc>
      </w:tr>
      <w:tr w14:paraId="66B320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8" w:type="dxa"/>
          </w:tcPr>
          <w:p w14:paraId="64D91901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人员要求</w:t>
            </w:r>
          </w:p>
        </w:tc>
        <w:tc>
          <w:tcPr>
            <w:tcW w:w="7034" w:type="dxa"/>
          </w:tcPr>
          <w:p w14:paraId="61861510"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健康管理、培训考核、人员卫生、手部清洗消毒、工作服等方面制度健全、管理规范。</w:t>
            </w:r>
          </w:p>
        </w:tc>
      </w:tr>
      <w:tr w14:paraId="269FE9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8" w:type="dxa"/>
          </w:tcPr>
          <w:p w14:paraId="2DADAE34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文件和记录</w:t>
            </w:r>
          </w:p>
        </w:tc>
        <w:tc>
          <w:tcPr>
            <w:tcW w:w="7034" w:type="dxa"/>
          </w:tcPr>
          <w:p w14:paraId="3DFE55EA"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记录内容、保存时间、文件管理完整规范，</w:t>
            </w:r>
          </w:p>
        </w:tc>
      </w:tr>
      <w:tr w14:paraId="712C28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8" w:type="dxa"/>
          </w:tcPr>
          <w:p w14:paraId="2097D578"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其他</w:t>
            </w:r>
          </w:p>
        </w:tc>
        <w:tc>
          <w:tcPr>
            <w:tcW w:w="7034" w:type="dxa"/>
          </w:tcPr>
          <w:p w14:paraId="07B1E012"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燃料管理、宣传教育、健康促进</w:t>
            </w:r>
          </w:p>
        </w:tc>
      </w:tr>
    </w:tbl>
    <w:p w14:paraId="25EEEA98"/>
    <w:p w14:paraId="397B333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DD457A"/>
    <w:rsid w:val="10654040"/>
    <w:rsid w:val="21A4285B"/>
    <w:rsid w:val="223F5434"/>
    <w:rsid w:val="2CB216E6"/>
    <w:rsid w:val="340B66DF"/>
    <w:rsid w:val="4528048B"/>
    <w:rsid w:val="4C821BEA"/>
    <w:rsid w:val="56E00777"/>
    <w:rsid w:val="59266D23"/>
    <w:rsid w:val="60F30589"/>
    <w:rsid w:val="65AA7237"/>
    <w:rsid w:val="77B763A4"/>
    <w:rsid w:val="7A496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Hyperlink"/>
    <w:basedOn w:val="5"/>
    <w:unhideWhenUsed/>
    <w:qFormat/>
    <w:uiPriority w:val="99"/>
    <w:rPr>
      <w:color w:val="0026E5" w:themeColor="hyperlink"/>
      <w:u w:val="single"/>
      <w14:textFill>
        <w14:solidFill>
          <w14:schemeClr w14:val="hlink"/>
        </w14:solidFill>
      </w14:textFill>
    </w:rPr>
  </w:style>
  <w:style w:type="paragraph" w:customStyle="1" w:styleId="7">
    <w:name w:val="样式1"/>
    <w:basedOn w:val="1"/>
    <w:qFormat/>
    <w:uiPriority w:val="0"/>
    <w:rPr>
      <w:rFonts w:ascii="Calibri" w:hAnsi="Calibri" w:eastAsia="宋体" w:cs="Calibri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546</Words>
  <Characters>591</Characters>
  <Lines>0</Lines>
  <Paragraphs>0</Paragraphs>
  <TotalTime>7</TotalTime>
  <ScaleCrop>false</ScaleCrop>
  <LinksUpToDate>false</LinksUpToDate>
  <CharactersWithSpaces>591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2020-01-13T02:44:00Z</dcterms:created>
  <dc:creator>dell</dc:creator>
  <cp:lastModifiedBy>缄默</cp:lastModifiedBy>
  <dcterms:modified xsi:type="dcterms:W3CDTF">2026-05-05T07:05:27Z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34776EB4EFC8470BB7197A6379401D98_12</vt:lpwstr>
  </property>
  <property fmtid="{D5CDD505-2E9C-101B-9397-08002B2CF9AE}" pid="4" name="KSOTemplateDocerSaveRecord">
    <vt:lpwstr>eyJoZGlkIjoiYTQwMzdiNGMyY2MxZjVkOWVmYzUxMmE3YzdiM2UzOTIiLCJ1c2VySWQiOiIzOTM1MDI2MDgifQ==</vt:lpwstr>
  </property>
</Properties>
</file>